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AA" w:rsidRPr="007A0D69" w:rsidRDefault="00370EAA" w:rsidP="002265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72629" w:rsidRPr="000F1ED1" w:rsidRDefault="00F72629" w:rsidP="00F72629">
      <w:pPr>
        <w:pStyle w:val="Heading2"/>
        <w:rPr>
          <w:rFonts w:ascii="Calibri" w:hAnsi="Calibri"/>
        </w:rPr>
      </w:pPr>
      <w:r w:rsidRPr="007A0D69">
        <w:t xml:space="preserve">NCEPOD </w:t>
      </w:r>
      <w:r w:rsidR="00E96E39">
        <w:t>s</w:t>
      </w:r>
      <w:r w:rsidRPr="007A0D69">
        <w:t>elf-assessment checklist</w:t>
      </w:r>
    </w:p>
    <w:tbl>
      <w:tblPr>
        <w:tblW w:w="5000" w:type="pct"/>
        <w:tblLook w:val="04A0"/>
      </w:tblPr>
      <w:tblGrid>
        <w:gridCol w:w="654"/>
        <w:gridCol w:w="4563"/>
        <w:gridCol w:w="2445"/>
        <w:gridCol w:w="2437"/>
        <w:gridCol w:w="1423"/>
        <w:gridCol w:w="1284"/>
        <w:gridCol w:w="1368"/>
      </w:tblGrid>
      <w:tr w:rsidR="00E96E39" w:rsidRPr="00E96E39" w:rsidTr="0007293A">
        <w:trPr>
          <w:trHeight w:val="106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sz w:val="22"/>
                <w:szCs w:val="22"/>
                <w:lang w:eastAsia="en-GB"/>
              </w:rPr>
              <w:t>#</w:t>
            </w:r>
          </w:p>
        </w:tc>
        <w:tc>
          <w:tcPr>
            <w:tcW w:w="1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  <w:hideMark/>
          </w:tcPr>
          <w:p w:rsidR="00E96E39" w:rsidRPr="00E96E39" w:rsidRDefault="00E96E39" w:rsidP="00A74728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lang w:eastAsia="en-GB"/>
              </w:rPr>
              <w:t>Recommendations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lang w:eastAsia="en-GB"/>
              </w:rPr>
              <w:t>Is it met? Y/N/Partially/Planned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lang w:eastAsia="en-GB"/>
              </w:rPr>
              <w:t>Comments (Examples of good practice or deficiencies identified)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lang w:eastAsia="en-GB"/>
              </w:rPr>
              <w:t>Action required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lang w:eastAsia="en-GB"/>
              </w:rPr>
              <w:t>Timescale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FFFFFF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FFFFFF"/>
                <w:lang w:eastAsia="en-GB"/>
              </w:rPr>
              <w:t>Person responsible</w:t>
            </w:r>
          </w:p>
        </w:tc>
      </w:tr>
      <w:tr w:rsidR="00E96E39" w:rsidRPr="00E96E39" w:rsidTr="0007293A">
        <w:trPr>
          <w:trHeight w:val="217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713E" w:rsidRPr="00E8713E" w:rsidRDefault="00E8713E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Hospital coders and clinicians should work more</w:t>
            </w:r>
          </w:p>
          <w:p w:rsidR="00E8713E" w:rsidRPr="00E8713E" w:rsidRDefault="00E8713E" w:rsidP="00A7472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closely together to ensure coding for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is accurate. This will aid local quality improvement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initiatives and national reporting while facilitating the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commissioning of services according to the needs of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8713E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patients. </w:t>
            </w:r>
            <w:r w:rsidRPr="00E8713E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(Hospital Coders, Professional Association of</w:t>
            </w:r>
          </w:p>
          <w:p w:rsidR="00E8713E" w:rsidRPr="00E8713E" w:rsidRDefault="00E8713E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8713E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Clinical Coders, Clinical Directors and All 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E96E39" w:rsidP="00E96E39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E96E39" w:rsidP="00E96E3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E96E39" w:rsidP="00E96E3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E96E39" w:rsidP="00E96E3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E96E39" w:rsidP="00E96E3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646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E75B44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Better management of co-morbidity in patients with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acute pancreatitis is needed, especially through the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involvement of the relevant specialists, as this represents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an opportunity to improve overall outcomes. </w:t>
            </w:r>
            <w:r w:rsidRPr="00E75B4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(All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Clinicians)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96E39" w:rsidRPr="00E96E39" w:rsidTr="0007293A">
        <w:trPr>
          <w:trHeight w:val="213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B44" w:rsidRPr="00E75B44" w:rsidRDefault="00E75B44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All patients presenting to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the Emergency Department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with an acute illness, such as acute pancreatitis, should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have physiological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parameters recorded as part of their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initial assessment. These measurements should form</w:t>
            </w:r>
          </w:p>
          <w:p w:rsidR="00E96E39" w:rsidRDefault="00E75B44" w:rsidP="00A7472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part of an early warning score, such as the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National Early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75B44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Warning Score (NEWS). </w:t>
            </w:r>
            <w:r w:rsidRPr="00E75B4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(Emergency Medicine Doctors)</w:t>
            </w:r>
          </w:p>
          <w:p w:rsidR="00A74728" w:rsidRPr="00E96E39" w:rsidRDefault="00A74728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388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4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7F8" w:rsidRPr="00DD17F8" w:rsidRDefault="00DD17F8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D17F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 early warning score should be used in the emergency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D17F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department and throughout the patient’s stay in hospital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D17F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to aid recognition of deterioration. The score should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D17F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be standardised within and across hospitals. Use of the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D17F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National Early Warning Score (NEWS) would facilitate this</w:t>
            </w:r>
          </w:p>
          <w:p w:rsidR="00E96E39" w:rsidRPr="00E96E39" w:rsidRDefault="00DD17F8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D17F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standardisation. 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(Medical Directors and All </w:t>
            </w:r>
            <w:r w:rsidRPr="00DD17F8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Clinicians)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37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39A6" w:rsidRPr="002F39A6" w:rsidRDefault="002F39A6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For all early warning scores and as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recommended by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the Royal College of Physicians of London for NEWS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–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all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acute hospitals should have local arrangements to ensure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 agreed response to each trigger level including: the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speed of response, a clear escalation policy to ensure that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 appropriate response always occurs and is guaranteed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24/7; the seniority and clinical competencies of the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responder; the appropriate settings for ongoing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care; timely access to high dependency care, if required;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and the frequency of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subsequent clinical monitoring.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(Medical Directors and Clinical Directors)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912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39A6" w:rsidRPr="002F39A6" w:rsidRDefault="002F39A6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Acute Pancreatitis may require input from 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number of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different specialities. Therefore it should be managed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by a multidisciplinary team, comprising all specialities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needed to treat the condition as well as the underlying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co-morbidities. </w:t>
            </w:r>
            <w:r w:rsidRPr="002F39A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(Clinical Directors and All 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47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7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39A6" w:rsidRPr="002F39A6" w:rsidRDefault="002F39A6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Antibiotic prophylaxis is not recommended in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pancreatitis. All healthcare providers should ensure that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antimicrobial policies are in place including prescription,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review and the administration of antimicrobials as part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of an antimicrobial stewardship process. These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policies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must be accessible, adhered to and frequently reviewed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with training provided in their use. </w:t>
            </w:r>
            <w:r w:rsidRPr="002F39A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(Medical Directors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2F39A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Clinical Directors, Medical Microbiology Directors,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F39A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Clinical Pharmacy Lead and All 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77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919" w:rsidRPr="00997919" w:rsidRDefault="0099791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All patients admitted to hospital with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should be assessed for their overall risk of malnutrition.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This could be facilitated by using the Malnutrition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Universal Screening Tool (MUST) and provides a basis for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appropriate referral to a dietitian or a nutritional support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team and subsequent timely and adequate nutrition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99791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support. </w:t>
            </w:r>
            <w:r w:rsidRPr="0099791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(Medical Directors, Clinical Directors and Al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l </w:t>
            </w:r>
            <w:r w:rsidRPr="0099791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48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6F43" w:rsidRPr="00466F43" w:rsidRDefault="00466F43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Gallstones should be excluded in all patients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with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 including those thought to have an alcohol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related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acute pancreatitis, as gallstones are common in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the general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population. Abdominal ultrasound scanning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is the minimum that should be performed.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(Clinical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66F43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Directors and All 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18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C96" w:rsidRPr="00361919" w:rsidRDefault="00850C96" w:rsidP="00A7472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Definitive eradication of gallstones prevents the risk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of a recurrent attack of acute pancreatitis. This usually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involves cholecystectomy and ensuring that no stones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remain in the bile duct. For those patients with an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episode of mild acute pancreatitis, early definitive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 xml:space="preserve">surgery should be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lastRenderedPageBreak/>
              <w:t>undertaken, either during the index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admission, as recommended by the International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Association of Pancreatology (IAP), or on a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planned list,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within two weeks. For those patients with severe acute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pancreatitis, cholecystectomy should be undertaken</w:t>
            </w:r>
          </w:p>
          <w:p w:rsidR="00850C96" w:rsidRPr="00361919" w:rsidRDefault="00850C96" w:rsidP="00A7472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>when clinically appropriate after resolution of</w:t>
            </w:r>
          </w:p>
          <w:p w:rsidR="00850C96" w:rsidRPr="00361919" w:rsidRDefault="00850C96" w:rsidP="00A7472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361919">
              <w:rPr>
                <w:rFonts w:ascii="Calibri" w:hAnsi="Calibri"/>
                <w:sz w:val="22"/>
                <w:szCs w:val="22"/>
                <w:lang w:eastAsia="en-GB"/>
              </w:rPr>
              <w:t xml:space="preserve">pancreatitis. </w:t>
            </w:r>
            <w:r w:rsidRPr="00361919">
              <w:rPr>
                <w:rFonts w:ascii="Calibri" w:hAnsi="Calibri"/>
                <w:i/>
                <w:iCs/>
                <w:sz w:val="22"/>
                <w:szCs w:val="22"/>
                <w:lang w:eastAsia="en-GB"/>
              </w:rPr>
              <w:t>(Clinical Directors and All 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379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850C96" w:rsidRDefault="00E96E39" w:rsidP="00E96E3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</w:pPr>
            <w:r w:rsidRPr="00850C9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lastRenderedPageBreak/>
              <w:t>11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850C96" w:rsidP="00A74728">
            <w:pPr>
              <w:rPr>
                <w:rFonts w:ascii="Calibri" w:hAnsi="Calibri"/>
                <w:color w:val="BFBFBF"/>
                <w:sz w:val="22"/>
                <w:szCs w:val="22"/>
                <w:lang w:eastAsia="en-GB"/>
              </w:rPr>
            </w:pPr>
            <w:r w:rsidRPr="00850C96">
              <w:rPr>
                <w:rFonts w:ascii="Calibri" w:hAnsi="Calibri"/>
                <w:sz w:val="22"/>
                <w:szCs w:val="22"/>
                <w:lang w:eastAsia="en-GB"/>
              </w:rPr>
              <w:t>As recommended by the British Society of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850C96">
              <w:rPr>
                <w:rFonts w:ascii="Calibri" w:hAnsi="Calibri"/>
                <w:sz w:val="22"/>
                <w:szCs w:val="22"/>
                <w:lang w:eastAsia="en-GB"/>
              </w:rPr>
              <w:t>Gastroenterology, ERCP services should work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850C96">
              <w:rPr>
                <w:rFonts w:ascii="Calibri" w:hAnsi="Calibri"/>
                <w:sz w:val="22"/>
                <w:szCs w:val="22"/>
                <w:lang w:eastAsia="en-GB"/>
              </w:rPr>
              <w:t>collaboratively in a regional or hub-and-spoke model,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850C96">
              <w:rPr>
                <w:rFonts w:ascii="Calibri" w:hAnsi="Calibri"/>
                <w:sz w:val="22"/>
                <w:szCs w:val="22"/>
                <w:lang w:eastAsia="en-GB"/>
              </w:rPr>
              <w:t>with simple and rapid referral pathways established.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850C96">
              <w:rPr>
                <w:rFonts w:ascii="Calibri" w:hAnsi="Calibri"/>
                <w:sz w:val="22"/>
                <w:szCs w:val="22"/>
                <w:lang w:eastAsia="en-GB"/>
              </w:rPr>
              <w:t>Through this method, facilities for urgent or emergency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</w:t>
            </w:r>
            <w:r w:rsidRPr="00850C96">
              <w:rPr>
                <w:rFonts w:ascii="Calibri" w:hAnsi="Calibri"/>
                <w:sz w:val="22"/>
                <w:szCs w:val="22"/>
                <w:lang w:eastAsia="en-GB"/>
              </w:rPr>
              <w:t xml:space="preserve">ERCP should be widely available. </w:t>
            </w:r>
            <w:r w:rsidRPr="00850C96">
              <w:rPr>
                <w:rFonts w:ascii="Calibri" w:hAnsi="Calibri"/>
                <w:i/>
                <w:iCs/>
                <w:sz w:val="22"/>
                <w:szCs w:val="22"/>
                <w:lang w:eastAsia="en-GB"/>
              </w:rPr>
              <w:t>(Clinical Directors and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en-GB"/>
              </w:rPr>
              <w:t xml:space="preserve"> </w:t>
            </w:r>
            <w:r w:rsidRPr="00850C96">
              <w:rPr>
                <w:rFonts w:ascii="Calibri" w:hAnsi="Calibri"/>
                <w:i/>
                <w:iCs/>
                <w:sz w:val="22"/>
                <w:szCs w:val="22"/>
                <w:lang w:eastAsia="en-GB"/>
              </w:rPr>
              <w:t>Endoscopy Leads)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45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30AF" w:rsidRPr="004C30AF" w:rsidRDefault="004C30AF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C3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As previously supported and recommended by NCEPOD,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3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each hospital should have a 7-day Alcohol Specialist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3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Service, to provide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3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comprehensive physical and mental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3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assessments, ‘brief interventions’ and access to services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4C30AF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prior to discharge. </w:t>
            </w:r>
            <w:r w:rsidRPr="004C30AF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(Medical Directors)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115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BC2" w:rsidRPr="00B42BC2" w:rsidRDefault="00B42BC2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All patients with suspected alcohol-related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 should be discussed with the hospital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alcohol support service at every admission. Efforts to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deal with this underlying cause of acute pancreatitis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should equal those of gallstone acute pancreatitis.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Future clinical guidelines on acute pancreatitis should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incorporate this. </w:t>
            </w:r>
            <w:r w:rsidRPr="00B42BC2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(Clinical Directors, All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Clinicians,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42BC2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Specialist Associations, NICE, BSG, IAP, APA)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437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14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D509E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Given the increasing complexity of the management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of acute pancreatitis and its multidisciplinary nature,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formal networks should be established so that every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patient has access to specialist interventions, regardless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of which hospital they present to and are initially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managed in. Indications for when to refer a patient for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discussion with a specialist tertiary centre and when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 patient should be accepted for transfer, should be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explicitly stated. Management in a specialist tertiary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centre is necessary for patients with severe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 requiring radiological, endoscopic or surgical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509E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intervention. </w:t>
            </w:r>
            <w:r w:rsidRPr="00D509E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(Medical Directors and Clinical Directors)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407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5210" w:rsidRPr="00705210" w:rsidRDefault="00705210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The 2012 IAP/APA guidelines provide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recommendations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concerning key aspects of medical and surgical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management of acute pancreatitis based on the currently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available evidence. These recommendations should serve</w:t>
            </w:r>
          </w:p>
          <w:p w:rsidR="00E96E39" w:rsidRPr="00E96E39" w:rsidRDefault="00705210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as a reference standard for current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management of acute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pancreatitis. </w:t>
            </w:r>
            <w:r w:rsidRPr="00705210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(Clinical Directors and All Clinicians)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  <w:r w:rsidR="0070521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14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592B72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Specialist tertiary centres for acute pancreatitis should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be commissioned. A specialist tertiary centre is defined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by the IAP as a high volume centre with intensive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care facilities, daily access to radiological intervention,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interventional endoscopy including EUS and ERCP and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surgical expertise in managing necrotising pancreatitis.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 example model to base this on from the English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Department of Health could be the existing ‘Improving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Outcomes Guidance’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>compliant hepato-pancreato-biliary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cancer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units. </w:t>
            </w:r>
            <w:r w:rsidRPr="00592B72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(Specialist Commissioners and Medical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Directors)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2801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17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6E39" w:rsidRPr="00E96E39" w:rsidRDefault="00592B72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NCEPOD supports the IAP recommendation that after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excluding the commoner causes of acute pancreatitis,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those in whom the cause remains unknown should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undergo MRCP and/or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endoscopic ultrasonography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to detect occult microlithiasis, neoplasms or chronic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pancreatitis as well as rare morphologic abnormalities.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 CT of the abdomen should also be considered.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592B72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(Clinical Directors and All Clinicians)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96E39" w:rsidRPr="00E96E39" w:rsidTr="0007293A">
        <w:trPr>
          <w:trHeight w:val="1500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E39" w:rsidRPr="00E96E39" w:rsidRDefault="00E96E39" w:rsidP="00E96E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2EF6" w:rsidRPr="00A82EF6" w:rsidRDefault="00A82EF6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82EF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All patient deaths should be discussed at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82EF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morbidity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82EF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and mortality meetings and learning should be shared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82EF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through network meetings and their annual reports.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82EF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Adequate time for structured assessment of deaths and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82EF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complications should be provided by hospital Trusts/Boards. </w:t>
            </w:r>
            <w:r w:rsidRPr="00A82EF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(Medical Directors, Clinical Directors and All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A82EF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en-GB"/>
              </w:rPr>
              <w:t>Clinicians)</w:t>
            </w:r>
          </w:p>
          <w:p w:rsidR="00E96E39" w:rsidRPr="00E96E39" w:rsidRDefault="00E96E39" w:rsidP="00A7472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E39" w:rsidRPr="00E96E39" w:rsidRDefault="00E96E39" w:rsidP="00E96E39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E96E39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07293A" w:rsidRPr="0007293A" w:rsidRDefault="0007293A" w:rsidP="0007293A">
      <w:pPr>
        <w:rPr>
          <w:rFonts w:ascii="Calibri" w:hAnsi="Calibri"/>
          <w:color w:val="000000"/>
          <w:sz w:val="22"/>
          <w:szCs w:val="22"/>
          <w:lang w:eastAsia="en-GB"/>
        </w:rPr>
      </w:pPr>
      <w:r w:rsidRPr="0007293A">
        <w:rPr>
          <w:rFonts w:ascii="Calibri" w:hAnsi="Calibri"/>
          <w:color w:val="000000"/>
          <w:sz w:val="22"/>
          <w:szCs w:val="22"/>
          <w:lang w:eastAsia="en-GB"/>
        </w:rPr>
        <w:t>NB: Personnel/organisations listed in italics are who NCEPOD thinks should act on the recommendation, but this is only a guide and not limited to these groups</w:t>
      </w:r>
    </w:p>
    <w:p w:rsidR="00500ABF" w:rsidRPr="007A0D69" w:rsidRDefault="00500ABF" w:rsidP="00E06F38"/>
    <w:sectPr w:rsidR="00500ABF" w:rsidRPr="007A0D69" w:rsidSect="00CC43CF">
      <w:headerReference w:type="default" r:id="rId7"/>
      <w:footerReference w:type="default" r:id="rId8"/>
      <w:pgSz w:w="16838" w:h="11906" w:orient="landscape" w:code="9"/>
      <w:pgMar w:top="1135" w:right="1440" w:bottom="993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36" w:rsidRDefault="00F27C36">
      <w:r>
        <w:separator/>
      </w:r>
    </w:p>
  </w:endnote>
  <w:endnote w:type="continuationSeparator" w:id="0">
    <w:p w:rsidR="00F27C36" w:rsidRDefault="00F2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XWFHV+HelveticaNeue-Roman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ETEFD+HelveticaNeue-Roman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D7" w:rsidRDefault="005506D7">
    <w:pPr>
      <w:pStyle w:val="Footer"/>
      <w:rPr>
        <w:rFonts w:ascii="Arial" w:hAnsi="Arial"/>
        <w:sz w:val="18"/>
      </w:rPr>
    </w:pPr>
    <w:r>
      <w:rPr>
        <w:rFonts w:ascii="Arial" w:hAnsi="Arial"/>
        <w:sz w:val="18"/>
        <w:lang w:val="en-US"/>
      </w:rPr>
      <w:tab/>
    </w:r>
    <w:r>
      <w:rPr>
        <w:rFonts w:ascii="Arial" w:hAnsi="Arial"/>
        <w:sz w:val="18"/>
        <w:lang w:val="en-US"/>
      </w:rPr>
      <w:tab/>
    </w:r>
    <w:r>
      <w:rPr>
        <w:rFonts w:ascii="Arial" w:hAnsi="Arial"/>
        <w:sz w:val="18"/>
        <w:lang w:val="en-US"/>
      </w:rPr>
      <w:tab/>
    </w:r>
    <w:r>
      <w:rPr>
        <w:rFonts w:ascii="Arial" w:hAnsi="Arial"/>
        <w:sz w:val="18"/>
        <w:lang w:val="en-US"/>
      </w:rPr>
      <w:tab/>
      <w:t xml:space="preserve">Page </w:t>
    </w:r>
    <w:r w:rsidR="00A01198">
      <w:rPr>
        <w:rFonts w:ascii="Arial" w:hAnsi="Arial"/>
        <w:sz w:val="18"/>
        <w:lang w:val="en-US"/>
      </w:rPr>
      <w:fldChar w:fldCharType="begin"/>
    </w:r>
    <w:r>
      <w:rPr>
        <w:rFonts w:ascii="Arial" w:hAnsi="Arial"/>
        <w:sz w:val="18"/>
        <w:lang w:val="en-US"/>
      </w:rPr>
      <w:instrText xml:space="preserve"> PAGE </w:instrText>
    </w:r>
    <w:r w:rsidR="00A01198">
      <w:rPr>
        <w:rFonts w:ascii="Arial" w:hAnsi="Arial"/>
        <w:sz w:val="18"/>
        <w:lang w:val="en-US"/>
      </w:rPr>
      <w:fldChar w:fldCharType="separate"/>
    </w:r>
    <w:r w:rsidR="0007293A">
      <w:rPr>
        <w:rFonts w:ascii="Arial" w:hAnsi="Arial"/>
        <w:noProof/>
        <w:sz w:val="18"/>
        <w:lang w:val="en-US"/>
      </w:rPr>
      <w:t>6</w:t>
    </w:r>
    <w:r w:rsidR="00A01198">
      <w:rPr>
        <w:rFonts w:ascii="Arial" w:hAnsi="Arial"/>
        <w:sz w:val="18"/>
        <w:lang w:val="en-US"/>
      </w:rPr>
      <w:fldChar w:fldCharType="end"/>
    </w:r>
    <w:r>
      <w:rPr>
        <w:rFonts w:ascii="Arial" w:hAnsi="Arial"/>
        <w:sz w:val="18"/>
        <w:lang w:val="en-US"/>
      </w:rPr>
      <w:t xml:space="preserve"> of </w:t>
    </w:r>
    <w:r w:rsidR="00A01198">
      <w:rPr>
        <w:rFonts w:ascii="Arial" w:hAnsi="Arial"/>
        <w:sz w:val="18"/>
        <w:lang w:val="en-US"/>
      </w:rPr>
      <w:fldChar w:fldCharType="begin"/>
    </w:r>
    <w:r>
      <w:rPr>
        <w:rFonts w:ascii="Arial" w:hAnsi="Arial"/>
        <w:sz w:val="18"/>
        <w:lang w:val="en-US"/>
      </w:rPr>
      <w:instrText xml:space="preserve"> NUMPAGES </w:instrText>
    </w:r>
    <w:r w:rsidR="00A01198">
      <w:rPr>
        <w:rFonts w:ascii="Arial" w:hAnsi="Arial"/>
        <w:sz w:val="18"/>
        <w:lang w:val="en-US"/>
      </w:rPr>
      <w:fldChar w:fldCharType="separate"/>
    </w:r>
    <w:r w:rsidR="0007293A">
      <w:rPr>
        <w:rFonts w:ascii="Arial" w:hAnsi="Arial"/>
        <w:noProof/>
        <w:sz w:val="18"/>
        <w:lang w:val="en-US"/>
      </w:rPr>
      <w:t>6</w:t>
    </w:r>
    <w:r w:rsidR="00A01198">
      <w:rPr>
        <w:rFonts w:ascii="Arial" w:hAnsi="Arial"/>
        <w:sz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36" w:rsidRDefault="00F27C36">
      <w:r>
        <w:separator/>
      </w:r>
    </w:p>
  </w:footnote>
  <w:footnote w:type="continuationSeparator" w:id="0">
    <w:p w:rsidR="00F27C36" w:rsidRDefault="00F27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6D7" w:rsidRPr="000F1ED1" w:rsidRDefault="005506D7">
    <w:pPr>
      <w:pStyle w:val="Header"/>
      <w:jc w:val="center"/>
      <w:rPr>
        <w:rFonts w:ascii="Calibri" w:hAnsi="Calibri"/>
        <w:sz w:val="20"/>
        <w:szCs w:val="20"/>
      </w:rPr>
    </w:pPr>
    <w:r w:rsidRPr="000F1ED1">
      <w:rPr>
        <w:rFonts w:ascii="Calibri" w:hAnsi="Calibri"/>
        <w:sz w:val="20"/>
        <w:szCs w:val="20"/>
      </w:rPr>
      <w:t>National Confidential Enquiry into Patient Outcome and Death –</w:t>
    </w:r>
    <w:r w:rsidR="00E8713E">
      <w:rPr>
        <w:rFonts w:ascii="Calibri" w:hAnsi="Calibri"/>
        <w:sz w:val="20"/>
        <w:szCs w:val="20"/>
      </w:rPr>
      <w:t xml:space="preserve"> July 2016</w:t>
    </w:r>
    <w:r w:rsidRPr="000F1ED1">
      <w:rPr>
        <w:rFonts w:ascii="Calibri" w:hAnsi="Calibri"/>
        <w:sz w:val="20"/>
        <w:szCs w:val="20"/>
      </w:rPr>
      <w:t xml:space="preserve"> – </w:t>
    </w:r>
    <w:r w:rsidR="00E96E39">
      <w:rPr>
        <w:rFonts w:ascii="Calibri" w:hAnsi="Calibri"/>
        <w:sz w:val="20"/>
        <w:szCs w:val="20"/>
      </w:rPr>
      <w:t>T</w:t>
    </w:r>
    <w:r w:rsidR="00E8713E">
      <w:rPr>
        <w:rFonts w:ascii="Calibri" w:hAnsi="Calibri"/>
        <w:sz w:val="20"/>
        <w:szCs w:val="20"/>
      </w:rPr>
      <w:t>reat the Cause – Acute Pancreatitis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3A1"/>
    <w:multiLevelType w:val="hybridMultilevel"/>
    <w:tmpl w:val="506A7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D39AF"/>
    <w:multiLevelType w:val="hybridMultilevel"/>
    <w:tmpl w:val="3CCEF3AA"/>
    <w:lvl w:ilvl="0" w:tplc="69BC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C8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63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28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AC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43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C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2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A3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7E4A85"/>
    <w:multiLevelType w:val="hybridMultilevel"/>
    <w:tmpl w:val="2D846AD6"/>
    <w:lvl w:ilvl="0" w:tplc="FD8A3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88B"/>
    <w:multiLevelType w:val="hybridMultilevel"/>
    <w:tmpl w:val="D020D72A"/>
    <w:lvl w:ilvl="0" w:tplc="FD8A3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A0A8B"/>
    <w:multiLevelType w:val="hybridMultilevel"/>
    <w:tmpl w:val="48E291DC"/>
    <w:lvl w:ilvl="0" w:tplc="FD8A3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14EF"/>
    <w:rsid w:val="00003169"/>
    <w:rsid w:val="00007EDD"/>
    <w:rsid w:val="0003688E"/>
    <w:rsid w:val="0004096B"/>
    <w:rsid w:val="000479D9"/>
    <w:rsid w:val="00052D21"/>
    <w:rsid w:val="00057590"/>
    <w:rsid w:val="0007293A"/>
    <w:rsid w:val="00073C95"/>
    <w:rsid w:val="000773FD"/>
    <w:rsid w:val="000800AA"/>
    <w:rsid w:val="0009310E"/>
    <w:rsid w:val="00093640"/>
    <w:rsid w:val="000B2655"/>
    <w:rsid w:val="000D5B7C"/>
    <w:rsid w:val="000D77C4"/>
    <w:rsid w:val="000E05F1"/>
    <w:rsid w:val="000E481B"/>
    <w:rsid w:val="000E567A"/>
    <w:rsid w:val="000F1ED1"/>
    <w:rsid w:val="000F4196"/>
    <w:rsid w:val="000F4CD0"/>
    <w:rsid w:val="0012284D"/>
    <w:rsid w:val="001443D0"/>
    <w:rsid w:val="00150FA7"/>
    <w:rsid w:val="00151CA1"/>
    <w:rsid w:val="0019756C"/>
    <w:rsid w:val="00197696"/>
    <w:rsid w:val="001A1CF0"/>
    <w:rsid w:val="001B0D49"/>
    <w:rsid w:val="0022652B"/>
    <w:rsid w:val="00236AEB"/>
    <w:rsid w:val="002507C3"/>
    <w:rsid w:val="00281127"/>
    <w:rsid w:val="002862E0"/>
    <w:rsid w:val="00292D8C"/>
    <w:rsid w:val="002A395B"/>
    <w:rsid w:val="002A6A42"/>
    <w:rsid w:val="002C44ED"/>
    <w:rsid w:val="002E3B50"/>
    <w:rsid w:val="002F39A6"/>
    <w:rsid w:val="002F6DD0"/>
    <w:rsid w:val="0030741C"/>
    <w:rsid w:val="00316E7C"/>
    <w:rsid w:val="00341C18"/>
    <w:rsid w:val="003579DF"/>
    <w:rsid w:val="00361919"/>
    <w:rsid w:val="00370EAA"/>
    <w:rsid w:val="00382810"/>
    <w:rsid w:val="00391561"/>
    <w:rsid w:val="00391E64"/>
    <w:rsid w:val="003957F3"/>
    <w:rsid w:val="003A0354"/>
    <w:rsid w:val="003A6D1F"/>
    <w:rsid w:val="003D25C9"/>
    <w:rsid w:val="003D55BC"/>
    <w:rsid w:val="003F1C4B"/>
    <w:rsid w:val="00400361"/>
    <w:rsid w:val="00401D97"/>
    <w:rsid w:val="00404ADA"/>
    <w:rsid w:val="004209F5"/>
    <w:rsid w:val="00427F53"/>
    <w:rsid w:val="0043664D"/>
    <w:rsid w:val="00466F43"/>
    <w:rsid w:val="00474673"/>
    <w:rsid w:val="00475C93"/>
    <w:rsid w:val="00477D5D"/>
    <w:rsid w:val="0048278C"/>
    <w:rsid w:val="0049155B"/>
    <w:rsid w:val="00494F5E"/>
    <w:rsid w:val="004A51ED"/>
    <w:rsid w:val="004B58A8"/>
    <w:rsid w:val="004C30AF"/>
    <w:rsid w:val="004D07DF"/>
    <w:rsid w:val="004D40DA"/>
    <w:rsid w:val="004E0370"/>
    <w:rsid w:val="004E71AD"/>
    <w:rsid w:val="004F5919"/>
    <w:rsid w:val="0050088D"/>
    <w:rsid w:val="00500ABF"/>
    <w:rsid w:val="0052035B"/>
    <w:rsid w:val="005336BD"/>
    <w:rsid w:val="00542C01"/>
    <w:rsid w:val="0054645B"/>
    <w:rsid w:val="00546C75"/>
    <w:rsid w:val="005506D7"/>
    <w:rsid w:val="00555CAD"/>
    <w:rsid w:val="00577405"/>
    <w:rsid w:val="00577E0E"/>
    <w:rsid w:val="0058307E"/>
    <w:rsid w:val="00592B72"/>
    <w:rsid w:val="00592D5F"/>
    <w:rsid w:val="005B464E"/>
    <w:rsid w:val="005D0482"/>
    <w:rsid w:val="005D0E12"/>
    <w:rsid w:val="005D281C"/>
    <w:rsid w:val="005E1D7F"/>
    <w:rsid w:val="005E3461"/>
    <w:rsid w:val="005F2C7E"/>
    <w:rsid w:val="005F742E"/>
    <w:rsid w:val="00611738"/>
    <w:rsid w:val="006435A6"/>
    <w:rsid w:val="006508EB"/>
    <w:rsid w:val="00656A7B"/>
    <w:rsid w:val="0068736E"/>
    <w:rsid w:val="006901B8"/>
    <w:rsid w:val="0069745B"/>
    <w:rsid w:val="006E53A9"/>
    <w:rsid w:val="006E6D5B"/>
    <w:rsid w:val="006E712B"/>
    <w:rsid w:val="00705210"/>
    <w:rsid w:val="00723C89"/>
    <w:rsid w:val="007635A1"/>
    <w:rsid w:val="007851C2"/>
    <w:rsid w:val="00786617"/>
    <w:rsid w:val="00787976"/>
    <w:rsid w:val="0079131C"/>
    <w:rsid w:val="007A06D3"/>
    <w:rsid w:val="007A0D69"/>
    <w:rsid w:val="007A4866"/>
    <w:rsid w:val="007A4DFD"/>
    <w:rsid w:val="007B50CB"/>
    <w:rsid w:val="007E0992"/>
    <w:rsid w:val="007F14EF"/>
    <w:rsid w:val="007F5477"/>
    <w:rsid w:val="00811544"/>
    <w:rsid w:val="00815632"/>
    <w:rsid w:val="00850C96"/>
    <w:rsid w:val="00855E9B"/>
    <w:rsid w:val="00866D4D"/>
    <w:rsid w:val="00895D94"/>
    <w:rsid w:val="0089773A"/>
    <w:rsid w:val="008A6BEF"/>
    <w:rsid w:val="008D0586"/>
    <w:rsid w:val="008D4C35"/>
    <w:rsid w:val="008F704B"/>
    <w:rsid w:val="009168F6"/>
    <w:rsid w:val="00924DC1"/>
    <w:rsid w:val="00925680"/>
    <w:rsid w:val="00930DC0"/>
    <w:rsid w:val="00931BB5"/>
    <w:rsid w:val="00931EA0"/>
    <w:rsid w:val="0095639B"/>
    <w:rsid w:val="009577CC"/>
    <w:rsid w:val="00964384"/>
    <w:rsid w:val="00970287"/>
    <w:rsid w:val="00972831"/>
    <w:rsid w:val="00977F43"/>
    <w:rsid w:val="00991E32"/>
    <w:rsid w:val="00992890"/>
    <w:rsid w:val="00996F7B"/>
    <w:rsid w:val="00997885"/>
    <w:rsid w:val="00997919"/>
    <w:rsid w:val="009B2A93"/>
    <w:rsid w:val="009C3213"/>
    <w:rsid w:val="009D3A29"/>
    <w:rsid w:val="009D72FB"/>
    <w:rsid w:val="009E129A"/>
    <w:rsid w:val="009F1BC6"/>
    <w:rsid w:val="009F32E4"/>
    <w:rsid w:val="00A01198"/>
    <w:rsid w:val="00A40453"/>
    <w:rsid w:val="00A40AA3"/>
    <w:rsid w:val="00A41942"/>
    <w:rsid w:val="00A71EB0"/>
    <w:rsid w:val="00A74728"/>
    <w:rsid w:val="00A80A6D"/>
    <w:rsid w:val="00A82EF6"/>
    <w:rsid w:val="00A876DA"/>
    <w:rsid w:val="00A91D1A"/>
    <w:rsid w:val="00A927FA"/>
    <w:rsid w:val="00AB5109"/>
    <w:rsid w:val="00AE43C4"/>
    <w:rsid w:val="00AE6190"/>
    <w:rsid w:val="00AE6E83"/>
    <w:rsid w:val="00AF583E"/>
    <w:rsid w:val="00AF77CC"/>
    <w:rsid w:val="00B23745"/>
    <w:rsid w:val="00B317C5"/>
    <w:rsid w:val="00B37A07"/>
    <w:rsid w:val="00B42BC2"/>
    <w:rsid w:val="00B46D87"/>
    <w:rsid w:val="00B540C4"/>
    <w:rsid w:val="00B5794B"/>
    <w:rsid w:val="00B6367B"/>
    <w:rsid w:val="00B71221"/>
    <w:rsid w:val="00B764B8"/>
    <w:rsid w:val="00B8012E"/>
    <w:rsid w:val="00B80830"/>
    <w:rsid w:val="00B83739"/>
    <w:rsid w:val="00B964E6"/>
    <w:rsid w:val="00BA1B7C"/>
    <w:rsid w:val="00BC1562"/>
    <w:rsid w:val="00BD28A4"/>
    <w:rsid w:val="00BD28B5"/>
    <w:rsid w:val="00C1652A"/>
    <w:rsid w:val="00C25CBD"/>
    <w:rsid w:val="00C500CB"/>
    <w:rsid w:val="00C546DD"/>
    <w:rsid w:val="00C564FD"/>
    <w:rsid w:val="00C56A02"/>
    <w:rsid w:val="00C705E1"/>
    <w:rsid w:val="00C82125"/>
    <w:rsid w:val="00C96299"/>
    <w:rsid w:val="00CA184A"/>
    <w:rsid w:val="00CA3E34"/>
    <w:rsid w:val="00CA494F"/>
    <w:rsid w:val="00CC4377"/>
    <w:rsid w:val="00CC43CF"/>
    <w:rsid w:val="00CD015C"/>
    <w:rsid w:val="00CE4DAA"/>
    <w:rsid w:val="00CF22D8"/>
    <w:rsid w:val="00D0088C"/>
    <w:rsid w:val="00D00F9B"/>
    <w:rsid w:val="00D30826"/>
    <w:rsid w:val="00D3117E"/>
    <w:rsid w:val="00D509E9"/>
    <w:rsid w:val="00D50DF4"/>
    <w:rsid w:val="00D53E9E"/>
    <w:rsid w:val="00D56EDB"/>
    <w:rsid w:val="00D80328"/>
    <w:rsid w:val="00D87B4A"/>
    <w:rsid w:val="00D97E68"/>
    <w:rsid w:val="00DB0726"/>
    <w:rsid w:val="00DB1DD3"/>
    <w:rsid w:val="00DC19BA"/>
    <w:rsid w:val="00DD17F8"/>
    <w:rsid w:val="00DE0011"/>
    <w:rsid w:val="00DE2DE3"/>
    <w:rsid w:val="00E06F38"/>
    <w:rsid w:val="00E160E9"/>
    <w:rsid w:val="00E42A4C"/>
    <w:rsid w:val="00E60394"/>
    <w:rsid w:val="00E604FA"/>
    <w:rsid w:val="00E75B44"/>
    <w:rsid w:val="00E81422"/>
    <w:rsid w:val="00E8713E"/>
    <w:rsid w:val="00E95668"/>
    <w:rsid w:val="00E96E39"/>
    <w:rsid w:val="00EC6017"/>
    <w:rsid w:val="00EC7C21"/>
    <w:rsid w:val="00EF0F0F"/>
    <w:rsid w:val="00F07648"/>
    <w:rsid w:val="00F229F2"/>
    <w:rsid w:val="00F27C36"/>
    <w:rsid w:val="00F42898"/>
    <w:rsid w:val="00F440B1"/>
    <w:rsid w:val="00F72629"/>
    <w:rsid w:val="00F9570E"/>
    <w:rsid w:val="00F9715B"/>
    <w:rsid w:val="00FA6C5F"/>
    <w:rsid w:val="00FB6352"/>
    <w:rsid w:val="00FE107D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B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72629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6A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A42"/>
  </w:style>
  <w:style w:type="paragraph" w:styleId="Header">
    <w:name w:val="header"/>
    <w:basedOn w:val="Normal"/>
    <w:rsid w:val="00F7262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7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7A4D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80328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9D72FB"/>
    <w:pPr>
      <w:autoSpaceDE w:val="0"/>
      <w:autoSpaceDN w:val="0"/>
      <w:adjustRightInd w:val="0"/>
      <w:spacing w:line="181" w:lineRule="atLeast"/>
    </w:pPr>
    <w:rPr>
      <w:rFonts w:ascii="YXWFHV+HelveticaNeue-Roman" w:hAnsi="YXWFHV+HelveticaNeue-Roman"/>
      <w:lang w:val="en-US"/>
    </w:rPr>
  </w:style>
  <w:style w:type="paragraph" w:customStyle="1" w:styleId="Pa17">
    <w:name w:val="Pa17"/>
    <w:basedOn w:val="Normal"/>
    <w:next w:val="Normal"/>
    <w:rsid w:val="009D72FB"/>
    <w:pPr>
      <w:autoSpaceDE w:val="0"/>
      <w:autoSpaceDN w:val="0"/>
      <w:adjustRightInd w:val="0"/>
      <w:spacing w:line="181" w:lineRule="atLeast"/>
    </w:pPr>
    <w:rPr>
      <w:rFonts w:ascii="YXWFHV+HelveticaNeue-Roman" w:hAnsi="YXWFHV+HelveticaNeue-Roman"/>
      <w:lang w:val="en-US"/>
    </w:rPr>
  </w:style>
  <w:style w:type="paragraph" w:customStyle="1" w:styleId="Pa1">
    <w:name w:val="Pa1"/>
    <w:basedOn w:val="Normal"/>
    <w:next w:val="Normal"/>
    <w:uiPriority w:val="99"/>
    <w:rsid w:val="00EC7C21"/>
    <w:pPr>
      <w:autoSpaceDE w:val="0"/>
      <w:autoSpaceDN w:val="0"/>
      <w:adjustRightInd w:val="0"/>
      <w:spacing w:line="181" w:lineRule="atLeast"/>
    </w:pPr>
    <w:rPr>
      <w:rFonts w:ascii="UETEFD+HelveticaNeue-Roman" w:hAnsi="UETEFD+HelveticaNeue-Roman"/>
      <w:lang w:val="en-US"/>
    </w:rPr>
  </w:style>
  <w:style w:type="character" w:customStyle="1" w:styleId="A6">
    <w:name w:val="A6"/>
    <w:rsid w:val="00EC7C21"/>
    <w:rPr>
      <w:rFonts w:cs="UETEFD+HelveticaNeue-Roman"/>
      <w:color w:val="4D2124"/>
      <w:sz w:val="12"/>
      <w:szCs w:val="12"/>
    </w:rPr>
  </w:style>
  <w:style w:type="paragraph" w:styleId="CommentText">
    <w:name w:val="annotation text"/>
    <w:basedOn w:val="Normal"/>
    <w:link w:val="CommentTextChar"/>
    <w:rsid w:val="002E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3B50"/>
    <w:rPr>
      <w:lang w:eastAsia="en-US"/>
    </w:rPr>
  </w:style>
  <w:style w:type="character" w:styleId="CommentReference">
    <w:name w:val="annotation reference"/>
    <w:basedOn w:val="DefaultParagraphFont"/>
    <w:uiPriority w:val="99"/>
    <w:rsid w:val="002E3B5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NCEPOD audit tool</vt:lpstr>
    </vt:vector>
  </TitlesOfParts>
  <Company>Norfolk &amp; Norwich NHS Trust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NCEPOD audit tool</dc:title>
  <dc:creator>Anthony Gray</dc:creator>
  <cp:lastModifiedBy>mmason</cp:lastModifiedBy>
  <cp:revision>4</cp:revision>
  <cp:lastPrinted>2013-11-11T15:36:00Z</cp:lastPrinted>
  <dcterms:created xsi:type="dcterms:W3CDTF">2016-06-30T07:41:00Z</dcterms:created>
  <dcterms:modified xsi:type="dcterms:W3CDTF">2016-07-04T09:08:00Z</dcterms:modified>
</cp:coreProperties>
</file>